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320"/>
          <w:tab w:val="right" w:pos="8640"/>
        </w:tabs>
        <w:rPr>
          <w:rFonts w:ascii="Avenir" w:cs="Avenir" w:eastAsia="Avenir" w:hAnsi="Avenir"/>
          <w:b w:val="1"/>
          <w:i w:val="1"/>
          <w:sz w:val="22"/>
          <w:szCs w:val="22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320"/>
          <w:tab w:val="right" w:pos="8640"/>
        </w:tabs>
        <w:jc w:val="center"/>
        <w:rPr>
          <w:rFonts w:ascii="Avenir" w:cs="Avenir" w:eastAsia="Avenir" w:hAnsi="Avenir"/>
          <w:b w:val="1"/>
          <w:i w:val="1"/>
          <w:sz w:val="22"/>
          <w:szCs w:val="22"/>
        </w:rPr>
      </w:pPr>
      <w:bookmarkStart w:colFirst="0" w:colLast="0" w:name="_44641bmbfskz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320"/>
          <w:tab w:val="right" w:pos="8640"/>
        </w:tabs>
        <w:jc w:val="center"/>
        <w:rPr>
          <w:rFonts w:ascii="Avenir" w:cs="Avenir" w:eastAsia="Avenir" w:hAnsi="Avenir"/>
          <w:b w:val="1"/>
          <w:sz w:val="22"/>
          <w:szCs w:val="22"/>
        </w:rPr>
      </w:pPr>
      <w:bookmarkStart w:colFirst="0" w:colLast="0" w:name="_q7bxrj4qmjvo" w:id="2"/>
      <w:bookmarkEnd w:id="2"/>
      <w:r w:rsidDel="00000000" w:rsidR="00000000" w:rsidRPr="00000000">
        <w:rPr>
          <w:rFonts w:ascii="Avenir" w:cs="Avenir" w:eastAsia="Avenir" w:hAnsi="Avenir"/>
          <w:b w:val="1"/>
          <w:i w:val="1"/>
          <w:sz w:val="22"/>
          <w:szCs w:val="22"/>
        </w:rPr>
        <w:drawing>
          <wp:inline distB="114300" distT="114300" distL="114300" distR="114300">
            <wp:extent cx="2071688" cy="126908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71688" cy="12690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320"/>
          <w:tab w:val="right" w:pos="8640"/>
        </w:tabs>
        <w:jc w:val="center"/>
        <w:rPr>
          <w:rFonts w:ascii="Avenir" w:cs="Avenir" w:eastAsia="Avenir" w:hAnsi="Avenir"/>
          <w:b w:val="1"/>
          <w:i w:val="1"/>
          <w:sz w:val="22"/>
          <w:szCs w:val="22"/>
        </w:rPr>
      </w:pPr>
      <w:bookmarkStart w:colFirst="0" w:colLast="0" w:name="_27x35ydiauuh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320"/>
          <w:tab w:val="right" w:pos="8640"/>
        </w:tabs>
        <w:jc w:val="center"/>
        <w:rPr>
          <w:rFonts w:ascii="Avenir" w:cs="Avenir" w:eastAsia="Avenir" w:hAnsi="Avenir"/>
          <w:b w:val="1"/>
          <w:i w:val="1"/>
          <w:sz w:val="22"/>
          <w:szCs w:val="22"/>
        </w:rPr>
      </w:pPr>
      <w:bookmarkStart w:colFirst="0" w:colLast="0" w:name="_rij0o5bszoha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320"/>
          <w:tab w:val="right" w:pos="8640"/>
        </w:tabs>
        <w:jc w:val="center"/>
        <w:rPr>
          <w:rFonts w:ascii="Avenir" w:cs="Avenir" w:eastAsia="Avenir" w:hAnsi="Avenir"/>
          <w:b w:val="1"/>
          <w:sz w:val="28"/>
          <w:szCs w:val="28"/>
        </w:rPr>
      </w:pPr>
      <w:bookmarkStart w:colFirst="0" w:colLast="0" w:name="_ahkdt315aqvk" w:id="5"/>
      <w:bookmarkEnd w:id="5"/>
      <w:hyperlink r:id="rId7">
        <w:r w:rsidDel="00000000" w:rsidR="00000000" w:rsidRPr="00000000">
          <w:rPr>
            <w:rFonts w:ascii="Avenir" w:cs="Avenir" w:eastAsia="Avenir" w:hAnsi="Avenir"/>
            <w:b w:val="1"/>
            <w:color w:val="1155cc"/>
            <w:sz w:val="28"/>
            <w:szCs w:val="28"/>
            <w:u w:val="single"/>
            <w:rtl w:val="0"/>
          </w:rPr>
          <w:t xml:space="preserve">WABS ACCESS STEM PBL Unit/Lesson Plan Template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320"/>
          <w:tab w:val="right" w:pos="8640"/>
        </w:tabs>
        <w:jc w:val="center"/>
        <w:rPr>
          <w:rFonts w:ascii="Avenir" w:cs="Avenir" w:eastAsia="Avenir" w:hAnsi="Avenir"/>
          <w:b w:val="1"/>
          <w:sz w:val="28"/>
          <w:szCs w:val="28"/>
        </w:rPr>
      </w:pPr>
      <w:bookmarkStart w:colFirst="0" w:colLast="0" w:name="_afyml2pxbmg3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Avenir" w:cs="Avenir" w:eastAsia="Avenir" w:hAnsi="Avenir"/>
          <w:sz w:val="28"/>
          <w:szCs w:val="28"/>
        </w:rPr>
      </w:pPr>
      <w:r w:rsidDel="00000000" w:rsidR="00000000" w:rsidRPr="00000000">
        <w:rPr>
          <w:rFonts w:ascii="Avenir" w:cs="Avenir" w:eastAsia="Avenir" w:hAnsi="Avenir"/>
          <w:b w:val="1"/>
          <w:sz w:val="28"/>
          <w:szCs w:val="28"/>
          <w:rtl w:val="0"/>
        </w:rPr>
        <w:t xml:space="preserve">U</w:t>
      </w:r>
      <w:r w:rsidDel="00000000" w:rsidR="00000000" w:rsidRPr="00000000">
        <w:rPr>
          <w:rFonts w:ascii="Avenir" w:cs="Avenir" w:eastAsia="Avenir" w:hAnsi="Avenir"/>
          <w:sz w:val="28"/>
          <w:szCs w:val="28"/>
          <w:rtl w:val="0"/>
        </w:rPr>
        <w:t xml:space="preserve">NIT OVERVIEW</w:t>
      </w:r>
    </w:p>
    <w:p w:rsidR="00000000" w:rsidDel="00000000" w:rsidP="00000000" w:rsidRDefault="00000000" w:rsidRPr="00000000" w14:paraId="0000000B">
      <w:pPr>
        <w:jc w:val="center"/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04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88" w:lineRule="auto"/>
              <w:rPr>
                <w:rFonts w:ascii="Architects Daughter" w:cs="Architects Daughter" w:eastAsia="Architects Daughter" w:hAnsi="Architects Daughter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u w:val="single"/>
                <w:rtl w:val="0"/>
              </w:rPr>
              <w:t xml:space="preserve">Title of PBL Unit</w:t>
            </w: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rtl w:val="0"/>
              </w:rPr>
              <w:t xml:space="preserve">: </w:t>
            </w:r>
            <w:r w:rsidDel="00000000" w:rsidR="00000000" w:rsidRPr="00000000">
              <w:rPr>
                <w:rFonts w:ascii="Avenir" w:cs="Avenir" w:eastAsia="Avenir" w:hAnsi="Avenir"/>
                <w:rtl w:val="0"/>
              </w:rPr>
              <w:t xml:space="preserve"> </w:t>
            </w: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rtl w:val="0"/>
              </w:rPr>
              <w:t xml:space="preserve">A Taste of Our State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line="288" w:lineRule="auto"/>
              <w:rPr>
                <w:rFonts w:ascii="Avenir" w:cs="Avenir" w:eastAsia="Avenir" w:hAnsi="Avenir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u w:val="single"/>
                <w:rtl w:val="0"/>
              </w:rPr>
              <w:t xml:space="preserve">Target Grade Level(s)</w:t>
            </w: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rtl w:val="0"/>
              </w:rPr>
              <w:t xml:space="preserve">: 4th Grade</w:t>
              <w:tab/>
            </w:r>
          </w:p>
          <w:p w:rsidR="00000000" w:rsidDel="00000000" w:rsidP="00000000" w:rsidRDefault="00000000" w:rsidRPr="00000000" w14:paraId="0000000E">
            <w:pPr>
              <w:widowControl w:val="0"/>
              <w:spacing w:line="288" w:lineRule="auto"/>
              <w:rPr>
                <w:rFonts w:ascii="Avenir" w:cs="Avenir" w:eastAsia="Avenir" w:hAnsi="Avenir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u w:val="single"/>
                <w:rtl w:val="0"/>
              </w:rPr>
              <w:t xml:space="preserve">Subject(s)</w:t>
            </w: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rtl w:val="0"/>
              </w:rPr>
              <w:t xml:space="preserve">: Math and Social Studies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88" w:lineRule="auto"/>
              <w:rPr>
                <w:rFonts w:ascii="Architects Daughter" w:cs="Architects Daughter" w:eastAsia="Architects Daughter" w:hAnsi="Architects Daughter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u w:val="single"/>
                <w:rtl w:val="0"/>
              </w:rPr>
              <w:t xml:space="preserve">Author(s)</w:t>
            </w: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rtl w:val="0"/>
              </w:rPr>
              <w:t xml:space="preserve">: Dustin Gowan and Carly Hancock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04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u w:val="single"/>
                <w:rtl w:val="0"/>
              </w:rPr>
              <w:t xml:space="preserve">Problem Statement</w:t>
            </w: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:  </w:t>
            </w:r>
          </w:p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venir" w:cs="Avenir" w:eastAsia="Avenir" w:hAnsi="Avenir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rtl w:val="0"/>
              </w:rPr>
              <w:t xml:space="preserve">We are assistant buyers who will create a mix that costs $8.50 (64 oz)</w:t>
            </w:r>
          </w:p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venir" w:cs="Avenir" w:eastAsia="Avenir" w:hAnsi="Avenir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rtl w:val="0"/>
              </w:rPr>
              <w:t xml:space="preserve">so that Costco can develop and propose our snack mix as an option for our daily school snack.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504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u w:val="single"/>
                <w:rtl w:val="0"/>
              </w:rPr>
              <w:t xml:space="preserve">Unit Overview and Table of Contents</w:t>
            </w: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017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504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u w:val="single"/>
                <w:rtl w:val="0"/>
              </w:rPr>
              <w:t xml:space="preserve">Standards:</w:t>
            </w: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highlight w:val="whit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9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rPr>
                <w:rFonts w:ascii="Avenir" w:cs="Avenir" w:eastAsia="Avenir" w:hAnsi="Avenir"/>
                <w:b w:val="1"/>
                <w:i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i w:val="1"/>
                <w:sz w:val="22"/>
                <w:szCs w:val="22"/>
                <w:highlight w:val="white"/>
                <w:rtl w:val="0"/>
              </w:rPr>
              <w:t xml:space="preserve">Math</w:t>
            </w:r>
          </w:p>
          <w:p w:rsidR="00000000" w:rsidDel="00000000" w:rsidP="00000000" w:rsidRDefault="00000000" w:rsidRPr="00000000" w14:paraId="0000001B">
            <w:pPr>
              <w:widowControl w:val="0"/>
              <w:rPr>
                <w:rFonts w:ascii="Avenir" w:cs="Avenir" w:eastAsia="Avenir" w:hAnsi="Avenir"/>
                <w:b w:val="1"/>
                <w:i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rPr>
                <w:rFonts w:ascii="Avenir" w:cs="Avenir" w:eastAsia="Avenir" w:hAnsi="Avenir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highlight w:val="white"/>
                <w:rtl w:val="0"/>
              </w:rPr>
              <w:t xml:space="preserve">4.OA.A.2  Use the four operations with whole numbers to solve problems using multiplication or division.</w:t>
            </w:r>
          </w:p>
          <w:p w:rsidR="00000000" w:rsidDel="00000000" w:rsidP="00000000" w:rsidRDefault="00000000" w:rsidRPr="00000000" w14:paraId="0000001D">
            <w:pPr>
              <w:widowControl w:val="0"/>
              <w:rPr>
                <w:rFonts w:ascii="Avenir" w:cs="Avenir" w:eastAsia="Avenir" w:hAnsi="Avenir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rPr>
                <w:rFonts w:ascii="Avenir" w:cs="Avenir" w:eastAsia="Avenir" w:hAnsi="Avenir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rPr>
                <w:rFonts w:ascii="Avenir" w:cs="Avenir" w:eastAsia="Avenir" w:hAnsi="Avenir"/>
                <w:b w:val="1"/>
                <w:i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after="240" w:before="240" w:line="276" w:lineRule="auto"/>
              <w:ind w:left="0" w:firstLine="0"/>
              <w:rPr>
                <w:rFonts w:ascii="Avenir" w:cs="Avenir" w:eastAsia="Avenir" w:hAnsi="Avenir"/>
                <w:b w:val="1"/>
                <w:i w:val="1"/>
                <w:color w:val="202020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i w:val="1"/>
                <w:color w:val="202020"/>
                <w:sz w:val="22"/>
                <w:szCs w:val="22"/>
                <w:rtl w:val="0"/>
              </w:rPr>
              <w:t xml:space="preserve">Social Studies</w:t>
            </w:r>
          </w:p>
          <w:p w:rsidR="00000000" w:rsidDel="00000000" w:rsidP="00000000" w:rsidRDefault="00000000" w:rsidRPr="00000000" w14:paraId="00000022">
            <w:pPr>
              <w:spacing w:after="240" w:before="240" w:line="276" w:lineRule="auto"/>
              <w:ind w:left="0" w:firstLine="0"/>
              <w:rPr>
                <w:rFonts w:ascii="Avenir" w:cs="Avenir" w:eastAsia="Avenir" w:hAnsi="Avenir"/>
                <w:color w:val="202020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color w:val="202020"/>
                <w:sz w:val="22"/>
                <w:szCs w:val="22"/>
                <w:rtl w:val="0"/>
              </w:rPr>
              <w:t xml:space="preserve">E2.4.2 Identify the basic elements of Washington state’s economic system, including agriculture, businesses, industry, natural resources, and labor.</w:t>
              <w:tab/>
              <w:tab/>
            </w:r>
          </w:p>
          <w:p w:rsidR="00000000" w:rsidDel="00000000" w:rsidP="00000000" w:rsidRDefault="00000000" w:rsidRPr="00000000" w14:paraId="00000023">
            <w:pPr>
              <w:widowControl w:val="0"/>
              <w:ind w:left="0" w:firstLine="0"/>
              <w:rPr>
                <w:rFonts w:ascii="Avenir" w:cs="Avenir" w:eastAsia="Avenir" w:hAnsi="Avenir"/>
                <w:b w:val="1"/>
                <w:color w:val="202020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Avenir" w:cs="Avenir" w:eastAsia="Avenir" w:hAnsi="Avenir"/>
                <w:color w:val="202020"/>
                <w:sz w:val="22"/>
                <w:szCs w:val="22"/>
                <w:rtl w:val="0"/>
              </w:rPr>
              <w:t xml:space="preserve">E2.4.3 Identify examples of the variety of resources human capital, physical capital, and natural resources) that are used to produce goods and services in Washington state.</w:t>
            </w:r>
            <w:r w:rsidDel="00000000" w:rsidR="00000000" w:rsidRPr="00000000">
              <w:rPr>
                <w:rFonts w:ascii="Century Gothic" w:cs="Century Gothic" w:eastAsia="Century Gothic" w:hAnsi="Century Gothic"/>
                <w:color w:val="202020"/>
                <w:sz w:val="22"/>
                <w:szCs w:val="22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504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rPr>
                <w:rFonts w:ascii="Architects Daughter" w:cs="Architects Daughter" w:eastAsia="Architects Daughter" w:hAnsi="Architects Daughter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u w:val="single"/>
                <w:rtl w:val="0"/>
              </w:rPr>
              <w:t xml:space="preserve">21st-Century Skills</w:t>
            </w: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504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rPr>
                <w:rFonts w:ascii="Architects Daughter" w:cs="Architects Daughter" w:eastAsia="Architects Daughter" w:hAnsi="Architects Daughter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u w:val="single"/>
                <w:rtl w:val="0"/>
              </w:rPr>
              <w:t xml:space="preserve">Locally and/or Personally Relevant for Students</w:t>
            </w: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: This project connects to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504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u w:val="single"/>
                <w:rtl w:val="0"/>
              </w:rPr>
              <w:t xml:space="preserve">Connections to Career and Educational Pathways</w:t>
            </w: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02A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Avenir" w:cs="Avenir" w:eastAsia="Avenir" w:hAnsi="Avenir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even"/>
      <w:footerReference r:id="rId10" w:type="even"/>
      <w:pgSz w:h="15840" w:w="12240" w:orient="portrait"/>
      <w:pgMar w:bottom="1080" w:top="900" w:left="1368" w:right="1368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chitects Daughter">
    <w:embedRegular w:fontKey="{00000000-0000-0000-0000-000000000000}" r:id="rId1" w:subsetted="0"/>
  </w:font>
  <w:font w:name="Avenir"/>
  <w:font w:name="Century Gothic">
    <w:embedRegular w:fontKey="{00000000-0000-0000-0000-000000000000}" r:id="rId2" w:subsetted="0"/>
    <w:embedBold w:fontKey="{00000000-0000-0000-0000-000000000000}" r:id="rId3" w:subsetted="0"/>
    <w:embedItalic w:fontKey="{00000000-0000-0000-0000-000000000000}" r:id="rId4" w:subsetted="0"/>
    <w:embedBoldItalic w:fontKey="{00000000-0000-0000-0000-000000000000}" r:id="rId5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ind w:right="360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ind w:right="360"/>
      <w:jc w:val="center"/>
      <w:rPr>
        <w:b w:val="1"/>
        <w:i w:val="1"/>
        <w:color w:val="000000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docs.google.com/document/u/1/d/1lzkUygoxlsEvaoczfdcXTIwzbba2y2ON/edit" TargetMode="Externa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chitectsDaughter-regular.ttf"/><Relationship Id="rId2" Type="http://schemas.openxmlformats.org/officeDocument/2006/relationships/font" Target="fonts/CenturyGothic-regular.ttf"/><Relationship Id="rId3" Type="http://schemas.openxmlformats.org/officeDocument/2006/relationships/font" Target="fonts/CenturyGothic-bold.ttf"/><Relationship Id="rId4" Type="http://schemas.openxmlformats.org/officeDocument/2006/relationships/font" Target="fonts/CenturyGothic-italic.ttf"/><Relationship Id="rId5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